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07D" w:rsidRDefault="00AC407D" w:rsidP="0022659D">
      <w:pPr>
        <w:spacing w:line="360" w:lineRule="auto"/>
        <w:jc w:val="center"/>
        <w:rPr>
          <w:b/>
          <w:noProof/>
          <w:lang w:eastAsia="hu-HU"/>
        </w:rPr>
      </w:pPr>
      <w:bookmarkStart w:id="0" w:name="_GoBack"/>
      <w:bookmarkEnd w:id="0"/>
    </w:p>
    <w:p w:rsidR="00B34F76" w:rsidRPr="003E32CD" w:rsidRDefault="003E32CD" w:rsidP="0022659D">
      <w:pPr>
        <w:spacing w:line="360" w:lineRule="auto"/>
        <w:jc w:val="center"/>
        <w:rPr>
          <w:rFonts w:asciiTheme="majorHAnsi" w:hAnsiTheme="majorHAnsi"/>
          <w:b/>
          <w:spacing w:val="40"/>
          <w:sz w:val="23"/>
          <w:szCs w:val="23"/>
        </w:rPr>
      </w:pPr>
      <w:r w:rsidRPr="003E32CD">
        <w:rPr>
          <w:b/>
          <w:noProof/>
          <w:lang w:eastAsia="hu-HU"/>
        </w:rPr>
        <w:t>A Magyar Tudomány Ünnepe</w:t>
      </w:r>
    </w:p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>201</w:t>
      </w:r>
      <w:r w:rsidR="006C18CB">
        <w:rPr>
          <w:rFonts w:asciiTheme="majorHAnsi" w:hAnsiTheme="majorHAnsi"/>
          <w:b/>
          <w:sz w:val="23"/>
          <w:szCs w:val="23"/>
        </w:rPr>
        <w:t>9</w:t>
      </w:r>
      <w:r w:rsidRPr="00FD2156">
        <w:rPr>
          <w:rFonts w:asciiTheme="majorHAnsi" w:hAnsiTheme="majorHAnsi"/>
          <w:b/>
          <w:sz w:val="23"/>
          <w:szCs w:val="23"/>
        </w:rPr>
        <w:t xml:space="preserve">. november </w:t>
      </w:r>
      <w:r w:rsidR="006C18CB">
        <w:rPr>
          <w:rFonts w:asciiTheme="majorHAnsi" w:hAnsiTheme="majorHAnsi"/>
          <w:b/>
          <w:sz w:val="23"/>
          <w:szCs w:val="23"/>
        </w:rPr>
        <w:t>4</w:t>
      </w:r>
      <w:r w:rsidRPr="00FD2156">
        <w:rPr>
          <w:rFonts w:asciiTheme="majorHAnsi" w:hAnsiTheme="majorHAnsi"/>
          <w:b/>
          <w:sz w:val="23"/>
          <w:szCs w:val="23"/>
        </w:rPr>
        <w:t>-30.</w:t>
      </w:r>
    </w:p>
    <w:p w:rsidR="0018070A" w:rsidRPr="00466DED" w:rsidRDefault="0018070A" w:rsidP="0022659D">
      <w:pPr>
        <w:spacing w:line="360" w:lineRule="auto"/>
        <w:jc w:val="center"/>
        <w:rPr>
          <w:rFonts w:asciiTheme="majorHAnsi" w:hAnsiTheme="majorHAnsi"/>
          <w:b/>
          <w:spacing w:val="40"/>
          <w:sz w:val="23"/>
          <w:szCs w:val="23"/>
        </w:rPr>
      </w:pPr>
      <w:r w:rsidRPr="00466DED">
        <w:rPr>
          <w:rFonts w:asciiTheme="majorHAnsi" w:hAnsiTheme="majorHAnsi"/>
          <w:b/>
          <w:spacing w:val="40"/>
          <w:sz w:val="23"/>
          <w:szCs w:val="23"/>
        </w:rPr>
        <w:t>„</w:t>
      </w:r>
      <w:r w:rsidR="003775AD">
        <w:rPr>
          <w:rFonts w:asciiTheme="majorHAnsi" w:hAnsiTheme="majorHAnsi"/>
          <w:b/>
          <w:spacing w:val="40"/>
          <w:sz w:val="23"/>
          <w:szCs w:val="23"/>
        </w:rPr>
        <w:t>Értékteremtő</w:t>
      </w:r>
      <w:r w:rsidR="00EC70AC" w:rsidRPr="00466DED">
        <w:rPr>
          <w:rFonts w:asciiTheme="majorHAnsi" w:hAnsiTheme="majorHAnsi"/>
          <w:b/>
          <w:spacing w:val="40"/>
          <w:sz w:val="23"/>
          <w:szCs w:val="23"/>
        </w:rPr>
        <w:t xml:space="preserve"> </w:t>
      </w:r>
      <w:r w:rsidRPr="00466DED">
        <w:rPr>
          <w:rFonts w:asciiTheme="majorHAnsi" w:hAnsiTheme="majorHAnsi"/>
          <w:b/>
          <w:spacing w:val="40"/>
          <w:sz w:val="23"/>
          <w:szCs w:val="23"/>
        </w:rPr>
        <w:t>tudomány”</w:t>
      </w:r>
    </w:p>
    <w:p w:rsidR="0018070A" w:rsidRDefault="0018070A" w:rsidP="00573A6E">
      <w:pPr>
        <w:spacing w:line="240" w:lineRule="auto"/>
      </w:pPr>
    </w:p>
    <w:p w:rsidR="005159FE" w:rsidRDefault="005159FE" w:rsidP="00573A6E">
      <w:pPr>
        <w:spacing w:line="240" w:lineRule="auto"/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3478"/>
        <w:gridCol w:w="6150"/>
      </w:tblGrid>
      <w:tr w:rsidR="0018070A" w:rsidTr="005D5A4D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A037BF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címe</w:t>
            </w:r>
          </w:p>
        </w:tc>
        <w:tc>
          <w:tcPr>
            <w:tcW w:w="3194" w:type="pct"/>
          </w:tcPr>
          <w:p w:rsidR="005373A5" w:rsidRPr="005D5A4D" w:rsidRDefault="000F5E05" w:rsidP="005D5A4D">
            <w:r>
              <w:t>Fiatal Kutatók Fóruma</w:t>
            </w:r>
          </w:p>
        </w:tc>
      </w:tr>
      <w:tr w:rsidR="0018070A" w:rsidTr="005D5A4D">
        <w:trPr>
          <w:trHeight w:val="1134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1E5CDE" w:rsidRDefault="00A037BF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 xml:space="preserve">A rendezvény </w:t>
            </w:r>
            <w:r w:rsidR="00C26DF0" w:rsidRPr="001E5CDE">
              <w:rPr>
                <w:b/>
                <w:color w:val="404040" w:themeColor="text1" w:themeTint="BF"/>
                <w:sz w:val="22"/>
              </w:rPr>
              <w:t>típusa</w:t>
            </w:r>
          </w:p>
          <w:p w:rsidR="00E77D31" w:rsidRPr="001E5CDE" w:rsidRDefault="00A037BF" w:rsidP="00E77D31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(pl. előadás, emlékülés, </w:t>
            </w:r>
            <w:r w:rsidR="00E77D31" w:rsidRPr="001E5CDE">
              <w:rPr>
                <w:color w:val="404040" w:themeColor="text1" w:themeTint="BF"/>
                <w:sz w:val="20"/>
                <w:szCs w:val="20"/>
              </w:rPr>
              <w:t xml:space="preserve">konferencia,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kerekasztal-beszélgetés, könyvbemutató, </w:t>
            </w:r>
            <w:r w:rsidR="002602AA" w:rsidRPr="001E5CDE">
              <w:rPr>
                <w:color w:val="404040" w:themeColor="text1" w:themeTint="BF"/>
                <w:sz w:val="20"/>
                <w:szCs w:val="20"/>
              </w:rPr>
              <w:t xml:space="preserve">kiállítás, </w:t>
            </w:r>
            <w:r w:rsidR="003B1155" w:rsidRPr="001E5CDE">
              <w:rPr>
                <w:color w:val="404040" w:themeColor="text1" w:themeTint="BF"/>
                <w:sz w:val="20"/>
                <w:szCs w:val="20"/>
              </w:rPr>
              <w:t xml:space="preserve">szimpózium,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tudományos ülés, </w:t>
            </w:r>
          </w:p>
          <w:p w:rsidR="00A037BF" w:rsidRPr="00A037BF" w:rsidRDefault="005D5A4D" w:rsidP="00E77D31">
            <w:pPr>
              <w:rPr>
                <w:color w:val="0070C0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 xml:space="preserve">workshop, filmvetítés </w:t>
            </w:r>
            <w:r w:rsidR="00A037BF" w:rsidRPr="001E5CDE">
              <w:rPr>
                <w:color w:val="404040" w:themeColor="text1" w:themeTint="BF"/>
                <w:sz w:val="20"/>
                <w:szCs w:val="20"/>
              </w:rPr>
              <w:t>stb.)</w:t>
            </w:r>
          </w:p>
        </w:tc>
        <w:tc>
          <w:tcPr>
            <w:tcW w:w="3194" w:type="pct"/>
          </w:tcPr>
          <w:p w:rsidR="0018070A" w:rsidRPr="005D5A4D" w:rsidRDefault="00130308" w:rsidP="005D5A4D">
            <w:r>
              <w:t>tudományos ülés</w:t>
            </w:r>
          </w:p>
        </w:tc>
      </w:tr>
      <w:tr w:rsidR="0018070A" w:rsidTr="005D5A4D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Tudományterület</w:t>
            </w:r>
          </w:p>
        </w:tc>
        <w:tc>
          <w:tcPr>
            <w:tcW w:w="3194" w:type="pct"/>
          </w:tcPr>
          <w:p w:rsidR="003B1155" w:rsidRPr="005D5A4D" w:rsidRDefault="00130308" w:rsidP="005D5A4D">
            <w:r>
              <w:t>belgyógyászat</w:t>
            </w:r>
          </w:p>
        </w:tc>
      </w:tr>
      <w:tr w:rsidR="0018070A" w:rsidTr="005D5A4D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időpontja</w:t>
            </w:r>
          </w:p>
        </w:tc>
        <w:tc>
          <w:tcPr>
            <w:tcW w:w="3194" w:type="pct"/>
          </w:tcPr>
          <w:p w:rsidR="003B1155" w:rsidRPr="005D5A4D" w:rsidRDefault="000F5E05" w:rsidP="005D5A4D">
            <w:r>
              <w:t>2019. november 22. 13:00-16:00</w:t>
            </w:r>
          </w:p>
        </w:tc>
      </w:tr>
      <w:tr w:rsidR="0018070A" w:rsidTr="005D5A4D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helyszíne</w:t>
            </w:r>
          </w:p>
        </w:tc>
        <w:tc>
          <w:tcPr>
            <w:tcW w:w="3194" w:type="pct"/>
          </w:tcPr>
          <w:p w:rsidR="00FD6390" w:rsidRPr="005D5A4D" w:rsidRDefault="000F5E05" w:rsidP="005D5A4D">
            <w:r>
              <w:t>DAB Székház</w:t>
            </w:r>
          </w:p>
        </w:tc>
      </w:tr>
      <w:tr w:rsidR="0018070A" w:rsidTr="005D5A4D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Szervező intézmény(ek)</w:t>
            </w:r>
          </w:p>
        </w:tc>
        <w:tc>
          <w:tcPr>
            <w:tcW w:w="3194" w:type="pct"/>
          </w:tcPr>
          <w:p w:rsidR="000F5E05" w:rsidRDefault="000F5E05" w:rsidP="000F5E05">
            <w:pPr>
              <w:ind w:left="7" w:hanging="10"/>
            </w:pPr>
            <w:r>
              <w:t xml:space="preserve">Debreceni Egyetem ÁOK Belgyógyászati Intézet / KK Belgyógyászati Klinika, </w:t>
            </w:r>
          </w:p>
          <w:p w:rsidR="003B1155" w:rsidRPr="005D5A4D" w:rsidRDefault="000F5E05" w:rsidP="000F5E05">
            <w:pPr>
              <w:ind w:left="7"/>
            </w:pPr>
            <w:r>
              <w:t>a Debreceni Akadémiai Bizottság Orvostudományi Szakbizottsága közreműködésével</w:t>
            </w:r>
          </w:p>
        </w:tc>
      </w:tr>
      <w:tr w:rsidR="0018070A" w:rsidTr="005D5A4D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Pr="001E5CDE" w:rsidRDefault="005373A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Kapcsolattartó</w:t>
            </w:r>
          </w:p>
          <w:p w:rsidR="0018070A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 w:rsidR="005373A5" w:rsidRPr="001E5CDE">
              <w:rPr>
                <w:color w:val="404040" w:themeColor="text1" w:themeTint="BF"/>
                <w:sz w:val="20"/>
                <w:szCs w:val="20"/>
              </w:rPr>
              <w:t xml:space="preserve">név,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e-mail, telefon)</w:t>
            </w:r>
          </w:p>
        </w:tc>
        <w:tc>
          <w:tcPr>
            <w:tcW w:w="3194" w:type="pct"/>
          </w:tcPr>
          <w:p w:rsidR="003B1155" w:rsidRDefault="000F5E05" w:rsidP="005D5A4D">
            <w:r>
              <w:t>Dr. Harangi Mariann egyetemi docens</w:t>
            </w:r>
          </w:p>
          <w:p w:rsidR="000F5E05" w:rsidRPr="005D5A4D" w:rsidRDefault="000F5E05" w:rsidP="005D5A4D">
            <w:r>
              <w:t>06-30-582-4935, mharangi@hotmail.com</w:t>
            </w:r>
          </w:p>
        </w:tc>
      </w:tr>
      <w:tr w:rsidR="0018070A" w:rsidTr="005D5A4D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honlapjának elérhetősége</w:t>
            </w:r>
          </w:p>
        </w:tc>
        <w:tc>
          <w:tcPr>
            <w:tcW w:w="3194" w:type="pct"/>
          </w:tcPr>
          <w:p w:rsidR="00D25B70" w:rsidRPr="005D5A4D" w:rsidRDefault="00036B48" w:rsidP="005D5A4D">
            <w:hyperlink r:id="rId6" w:history="1">
              <w:r w:rsidR="00194326" w:rsidRPr="00EC0E4F">
                <w:rPr>
                  <w:rStyle w:val="Hiperhivatkozs"/>
                </w:rPr>
                <w:t>https://unideb.hu/hu/node/358</w:t>
              </w:r>
            </w:hyperlink>
            <w:r w:rsidR="00194326">
              <w:t xml:space="preserve"> </w:t>
            </w:r>
          </w:p>
        </w:tc>
      </w:tr>
      <w:tr w:rsidR="003B1155" w:rsidTr="00B34F76">
        <w:trPr>
          <w:trHeight w:val="5669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Szinopszis, összefoglaló</w:t>
            </w:r>
            <w:r w:rsidR="003B59AD">
              <w:rPr>
                <w:b/>
                <w:color w:val="404040" w:themeColor="text1" w:themeTint="BF"/>
                <w:sz w:val="22"/>
              </w:rPr>
              <w:t xml:space="preserve">, </w:t>
            </w:r>
          </w:p>
          <w:p w:rsidR="00B34F76" w:rsidRDefault="00B34F76" w:rsidP="005373A5">
            <w:pPr>
              <w:rPr>
                <w:b/>
                <w:color w:val="404040" w:themeColor="text1" w:themeTint="BF"/>
                <w:sz w:val="22"/>
              </w:rPr>
            </w:pPr>
            <w:r>
              <w:rPr>
                <w:b/>
                <w:color w:val="404040" w:themeColor="text1" w:themeTint="BF"/>
                <w:sz w:val="22"/>
              </w:rPr>
              <w:t>programterv</w:t>
            </w:r>
          </w:p>
          <w:p w:rsidR="00F63878" w:rsidRPr="005373A5" w:rsidRDefault="00F63878" w:rsidP="003B59AD">
            <w:pPr>
              <w:rPr>
                <w:b/>
                <w:color w:val="0070C0"/>
                <w:sz w:val="22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 w:rsidR="003B59AD">
              <w:rPr>
                <w:color w:val="404040" w:themeColor="text1" w:themeTint="BF"/>
                <w:sz w:val="20"/>
                <w:szCs w:val="20"/>
              </w:rPr>
              <w:t>röviden ismertetve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3194" w:type="pct"/>
          </w:tcPr>
          <w:p w:rsidR="000F5E05" w:rsidRDefault="000F5E05" w:rsidP="005D5A4D"/>
          <w:p w:rsidR="00194326" w:rsidRDefault="00194326" w:rsidP="001943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13:00-13:15 </w:t>
            </w: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Megnyitó </w:t>
            </w:r>
            <w:r>
              <w:rPr>
                <w:rFonts w:ascii="Calibri" w:hAnsi="Calibri" w:cs="Calibri"/>
                <w:sz w:val="20"/>
                <w:szCs w:val="20"/>
              </w:rPr>
              <w:t>– Prof. Dr. Berényi Ervin, Prof. Dr. Mátyus László</w:t>
            </w:r>
          </w:p>
          <w:p w:rsidR="00194326" w:rsidRDefault="00194326" w:rsidP="001943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13:15-13:30 </w:t>
            </w: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Dr. Gál Kristóf: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 reoferezis kezelés hatása gyulladásos és prooxidáns folyamatokra </w:t>
            </w:r>
          </w:p>
          <w:p w:rsidR="00194326" w:rsidRDefault="00194326" w:rsidP="001943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13:30-13:45 </w:t>
            </w: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Dr. Pál Ildikó: </w:t>
            </w:r>
            <w:r>
              <w:rPr>
                <w:rFonts w:ascii="Calibri" w:hAnsi="Calibri" w:cs="Calibri"/>
                <w:sz w:val="20"/>
                <w:szCs w:val="20"/>
              </w:rPr>
              <w:t>A cereblon-béta-katenin útvonal gén polimorfizmusainak szerepe myeloma multiplexben</w:t>
            </w:r>
          </w:p>
          <w:p w:rsidR="00194326" w:rsidRDefault="00194326" w:rsidP="001943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13:45-14:00 </w:t>
            </w: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Dr. Juhász Imre: </w:t>
            </w:r>
            <w:r>
              <w:rPr>
                <w:rFonts w:ascii="Calibri" w:hAnsi="Calibri" w:cs="Calibri"/>
                <w:sz w:val="20"/>
                <w:szCs w:val="20"/>
              </w:rPr>
              <w:t>A hemoglobin A1c lehetséges prognosztikai szerepe diabeteses septicus betegekben</w:t>
            </w:r>
          </w:p>
          <w:p w:rsidR="00194326" w:rsidRDefault="00194326" w:rsidP="001943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14:00-14:15 </w:t>
            </w: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Dr. Becs Gergely: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 ferritin farmakológiai indukciója gátolja a vaszkuláris simaizomsejtek oszteoblaszt-szerű átalakulását </w:t>
            </w:r>
          </w:p>
          <w:p w:rsidR="00194326" w:rsidRDefault="00194326" w:rsidP="001943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14:15-14:30 </w:t>
            </w: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Dr. Pályu Eszter: </w:t>
            </w:r>
            <w:r>
              <w:rPr>
                <w:rFonts w:ascii="Calibri" w:hAnsi="Calibri" w:cs="Calibri"/>
                <w:sz w:val="20"/>
                <w:szCs w:val="20"/>
              </w:rPr>
              <w:t>A von Willebrand faktor multimer szerkezetének módosulása stabil és akutan dekompenzált májcirrhosisos betegekben</w:t>
            </w:r>
          </w:p>
          <w:p w:rsidR="00194326" w:rsidRDefault="00194326" w:rsidP="001943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14:30-14:45 Szünet</w:t>
            </w:r>
          </w:p>
          <w:p w:rsidR="00194326" w:rsidRDefault="00194326" w:rsidP="001943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14:45-15:00 </w:t>
            </w: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Dr. Janka Tamás: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 protonpumpa gátlók hatása a májzsugor klinikai lefolyására </w:t>
            </w:r>
          </w:p>
          <w:p w:rsidR="00194326" w:rsidRDefault="00194326" w:rsidP="001943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15:00-15:15 </w:t>
            </w: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Jámbor Ilona: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Follikuláris T-helper sejt és B sejt altípusok megoszlása primer Sjögren szindrómában: fenotípus és funkcionális vizsgálatok </w:t>
            </w:r>
          </w:p>
          <w:p w:rsidR="00194326" w:rsidRDefault="00194326" w:rsidP="001943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15:15-15:30 </w:t>
            </w: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Dr. Hamar Attila: </w:t>
            </w:r>
            <w:r>
              <w:rPr>
                <w:rFonts w:ascii="Calibri" w:hAnsi="Calibri" w:cs="Calibri"/>
                <w:sz w:val="20"/>
                <w:szCs w:val="20"/>
              </w:rPr>
              <w:t>Egy éves tofacitinib kezelés hatásai a csontdenzitásra és a csontátépülés biomarkereire rheumatoid arthritisben</w:t>
            </w:r>
          </w:p>
          <w:p w:rsidR="00194326" w:rsidRDefault="00194326" w:rsidP="001943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15:30-15:45 </w:t>
            </w: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Dr. Hircsu Ildikó: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 jódellátottság markerei terhesség alatt </w:t>
            </w:r>
          </w:p>
          <w:p w:rsidR="00F63878" w:rsidRPr="005D5A4D" w:rsidRDefault="00194326" w:rsidP="00194326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15:45-16:00 </w:t>
            </w: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 xml:space="preserve">Dr. Bicskó Réka Rahel: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Az interim PET-CT által vezérelt ciklusszám csökkentés a diffúz nagy B-sejtes lymphoma kezelésében 16:00 </w:t>
            </w: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Megbeszélés, zárás</w:t>
            </w:r>
          </w:p>
        </w:tc>
      </w:tr>
    </w:tbl>
    <w:p w:rsidR="007E469C" w:rsidRDefault="007E469C"/>
    <w:sectPr w:rsidR="007E469C" w:rsidSect="00BC699C">
      <w:footerReference w:type="default" r:id="rId7"/>
      <w:pgSz w:w="11906" w:h="16838" w:code="9"/>
      <w:pgMar w:top="737" w:right="1134" w:bottom="567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B48" w:rsidRDefault="00036B48" w:rsidP="007E469C">
      <w:pPr>
        <w:spacing w:line="240" w:lineRule="auto"/>
      </w:pPr>
      <w:r>
        <w:separator/>
      </w:r>
    </w:p>
  </w:endnote>
  <w:endnote w:type="continuationSeparator" w:id="0">
    <w:p w:rsidR="00036B48" w:rsidRDefault="00036B48" w:rsidP="007E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1821431"/>
      <w:docPartObj>
        <w:docPartGallery w:val="Page Numbers (Bottom of Page)"/>
        <w:docPartUnique/>
      </w:docPartObj>
    </w:sdtPr>
    <w:sdtEndPr/>
    <w:sdtContent>
      <w:p w:rsidR="007E469C" w:rsidRDefault="007E469C" w:rsidP="007E469C">
        <w:pPr>
          <w:pStyle w:val="llb"/>
          <w:jc w:val="center"/>
        </w:pPr>
        <w:r w:rsidRPr="007E469C">
          <w:rPr>
            <w:sz w:val="16"/>
            <w:szCs w:val="16"/>
          </w:rPr>
          <w:fldChar w:fldCharType="begin"/>
        </w:r>
        <w:r w:rsidRPr="007E469C">
          <w:rPr>
            <w:sz w:val="16"/>
            <w:szCs w:val="16"/>
          </w:rPr>
          <w:instrText>PAGE   \* MERGEFORMAT</w:instrText>
        </w:r>
        <w:r w:rsidRPr="007E469C">
          <w:rPr>
            <w:sz w:val="16"/>
            <w:szCs w:val="16"/>
          </w:rPr>
          <w:fldChar w:fldCharType="separate"/>
        </w:r>
        <w:r w:rsidR="00194326">
          <w:rPr>
            <w:noProof/>
            <w:sz w:val="16"/>
            <w:szCs w:val="16"/>
          </w:rPr>
          <w:t>2</w:t>
        </w:r>
        <w:r w:rsidRPr="007E469C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B48" w:rsidRDefault="00036B48" w:rsidP="007E469C">
      <w:pPr>
        <w:spacing w:line="240" w:lineRule="auto"/>
      </w:pPr>
      <w:r>
        <w:separator/>
      </w:r>
    </w:p>
  </w:footnote>
  <w:footnote w:type="continuationSeparator" w:id="0">
    <w:p w:rsidR="00036B48" w:rsidRDefault="00036B48" w:rsidP="007E46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70"/>
    <w:rsid w:val="00002354"/>
    <w:rsid w:val="00004FE9"/>
    <w:rsid w:val="000319E3"/>
    <w:rsid w:val="00036B48"/>
    <w:rsid w:val="00073FBC"/>
    <w:rsid w:val="000C1102"/>
    <w:rsid w:val="000C73B0"/>
    <w:rsid w:val="000F5E05"/>
    <w:rsid w:val="00130308"/>
    <w:rsid w:val="001464C5"/>
    <w:rsid w:val="001654EE"/>
    <w:rsid w:val="00171BA6"/>
    <w:rsid w:val="0018070A"/>
    <w:rsid w:val="00194326"/>
    <w:rsid w:val="001B45D1"/>
    <w:rsid w:val="001E5CDE"/>
    <w:rsid w:val="0022659D"/>
    <w:rsid w:val="002512D0"/>
    <w:rsid w:val="002602AA"/>
    <w:rsid w:val="002769AF"/>
    <w:rsid w:val="00295A33"/>
    <w:rsid w:val="002B4E5D"/>
    <w:rsid w:val="002E05B6"/>
    <w:rsid w:val="00304A6A"/>
    <w:rsid w:val="003775AD"/>
    <w:rsid w:val="00396A10"/>
    <w:rsid w:val="003B1155"/>
    <w:rsid w:val="003B59AD"/>
    <w:rsid w:val="003B5AE4"/>
    <w:rsid w:val="003E32CD"/>
    <w:rsid w:val="003F77BB"/>
    <w:rsid w:val="004476DD"/>
    <w:rsid w:val="00466DED"/>
    <w:rsid w:val="004A2616"/>
    <w:rsid w:val="004C6DA0"/>
    <w:rsid w:val="004F3F22"/>
    <w:rsid w:val="005159FE"/>
    <w:rsid w:val="005373A5"/>
    <w:rsid w:val="00573A6E"/>
    <w:rsid w:val="005D5A4D"/>
    <w:rsid w:val="0067384C"/>
    <w:rsid w:val="006C18CB"/>
    <w:rsid w:val="00764D73"/>
    <w:rsid w:val="00792F97"/>
    <w:rsid w:val="007A62BA"/>
    <w:rsid w:val="007D27F8"/>
    <w:rsid w:val="007E469C"/>
    <w:rsid w:val="008112CE"/>
    <w:rsid w:val="00841839"/>
    <w:rsid w:val="008D6E24"/>
    <w:rsid w:val="009F4470"/>
    <w:rsid w:val="00A037BF"/>
    <w:rsid w:val="00A40025"/>
    <w:rsid w:val="00AC407D"/>
    <w:rsid w:val="00AE15C5"/>
    <w:rsid w:val="00AE34AC"/>
    <w:rsid w:val="00B013BC"/>
    <w:rsid w:val="00B34F76"/>
    <w:rsid w:val="00B71798"/>
    <w:rsid w:val="00BA518C"/>
    <w:rsid w:val="00BC699C"/>
    <w:rsid w:val="00C26DF0"/>
    <w:rsid w:val="00C77758"/>
    <w:rsid w:val="00D25B70"/>
    <w:rsid w:val="00DB79FD"/>
    <w:rsid w:val="00E430D4"/>
    <w:rsid w:val="00E77D31"/>
    <w:rsid w:val="00EC70AC"/>
    <w:rsid w:val="00F63878"/>
    <w:rsid w:val="00FC6260"/>
    <w:rsid w:val="00FD2156"/>
    <w:rsid w:val="00FD6390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89080A-D19A-4DB6-8234-A8FEBEE7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07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469C"/>
  </w:style>
  <w:style w:type="paragraph" w:styleId="llb">
    <w:name w:val="footer"/>
    <w:basedOn w:val="Norml"/>
    <w:link w:val="llb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469C"/>
  </w:style>
  <w:style w:type="paragraph" w:styleId="Buborkszveg">
    <w:name w:val="Balloon Text"/>
    <w:basedOn w:val="Norml"/>
    <w:link w:val="BuborkszvegChar"/>
    <w:uiPriority w:val="99"/>
    <w:semiHidden/>
    <w:unhideWhenUsed/>
    <w:rsid w:val="00B34F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4F7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94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deb.hu/hu/node/35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Köteles Rita</dc:creator>
  <cp:lastModifiedBy>Dankóné</cp:lastModifiedBy>
  <cp:revision>2</cp:revision>
  <cp:lastPrinted>2018-09-17T15:24:00Z</cp:lastPrinted>
  <dcterms:created xsi:type="dcterms:W3CDTF">2019-11-14T14:25:00Z</dcterms:created>
  <dcterms:modified xsi:type="dcterms:W3CDTF">2019-11-14T14:25:00Z</dcterms:modified>
</cp:coreProperties>
</file>